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DD6DF" w14:textId="77777777" w:rsidR="00A96560" w:rsidRPr="00A96560" w:rsidRDefault="00A96560" w:rsidP="00A96560">
      <w:pPr>
        <w:spacing w:after="48" w:line="240" w:lineRule="auto"/>
        <w:rPr>
          <w:rFonts w:ascii="Helvetica" w:eastAsia="Times New Roman" w:hAnsi="Helvetica" w:cs="Helvetica"/>
          <w:color w:val="333333"/>
          <w:sz w:val="29"/>
          <w:szCs w:val="29"/>
        </w:rPr>
      </w:pPr>
      <w:r w:rsidRPr="00A96560">
        <w:rPr>
          <w:rFonts w:ascii="Helvetica" w:eastAsia="Times New Roman" w:hAnsi="Helvetica" w:cs="Helvetica"/>
          <w:color w:val="333333"/>
          <w:sz w:val="29"/>
          <w:szCs w:val="29"/>
        </w:rPr>
        <w:t>July 13, 2021</w:t>
      </w:r>
    </w:p>
    <w:p w14:paraId="5FD8D8AA" w14:textId="77777777" w:rsidR="00A96560" w:rsidRPr="00A96560" w:rsidRDefault="00A96560" w:rsidP="00A96560">
      <w:pPr>
        <w:spacing w:before="48" w:after="84" w:line="240" w:lineRule="auto"/>
        <w:outlineLvl w:val="0"/>
        <w:rPr>
          <w:rFonts w:ascii="Helvetica" w:eastAsia="Times New Roman" w:hAnsi="Helvetica" w:cs="Helvetica"/>
          <w:b/>
          <w:bCs/>
          <w:color w:val="333333"/>
          <w:kern w:val="36"/>
          <w:sz w:val="51"/>
          <w:szCs w:val="51"/>
        </w:rPr>
      </w:pPr>
      <w:r w:rsidRPr="00A96560">
        <w:rPr>
          <w:rFonts w:ascii="Helvetica" w:eastAsia="Times New Roman" w:hAnsi="Helvetica" w:cs="Helvetica"/>
          <w:b/>
          <w:bCs/>
          <w:color w:val="333333"/>
          <w:kern w:val="36"/>
          <w:sz w:val="51"/>
          <w:szCs w:val="51"/>
        </w:rPr>
        <w:t>Approval of Aducanumab for Alzheimer Disease—the FDA’s Perspective</w:t>
      </w:r>
    </w:p>
    <w:p w14:paraId="1CFCDFAE" w14:textId="77777777" w:rsidR="00A96560" w:rsidRPr="00A96560" w:rsidRDefault="001A680D" w:rsidP="00A96560">
      <w:pPr>
        <w:spacing w:line="240" w:lineRule="auto"/>
        <w:rPr>
          <w:rFonts w:ascii="Helvetica" w:eastAsia="Times New Roman" w:hAnsi="Helvetica" w:cs="Helvetica"/>
          <w:color w:val="333333"/>
          <w:sz w:val="21"/>
          <w:szCs w:val="21"/>
        </w:rPr>
      </w:pPr>
      <w:hyperlink r:id="rId5" w:tgtFrame="_blank" w:history="1">
        <w:r w:rsidR="00A96560" w:rsidRPr="00A96560">
          <w:rPr>
            <w:rFonts w:ascii="Helvetica" w:eastAsia="Times New Roman" w:hAnsi="Helvetica" w:cs="Helvetica"/>
            <w:color w:val="444444"/>
            <w:sz w:val="21"/>
            <w:szCs w:val="21"/>
            <w:u w:val="single"/>
          </w:rPr>
          <w:t>Billy Dunn, MD</w:t>
        </w:r>
        <w:r w:rsidR="00A96560" w:rsidRPr="00A96560">
          <w:rPr>
            <w:rFonts w:ascii="Helvetica" w:eastAsia="Times New Roman" w:hAnsi="Helvetica" w:cs="Helvetica"/>
            <w:color w:val="444444"/>
            <w:sz w:val="21"/>
            <w:szCs w:val="21"/>
            <w:u w:val="single"/>
            <w:vertAlign w:val="superscript"/>
          </w:rPr>
          <w:t>1</w:t>
        </w:r>
      </w:hyperlink>
      <w:r w:rsidR="00A96560" w:rsidRPr="00A96560">
        <w:rPr>
          <w:rFonts w:ascii="Helvetica" w:eastAsia="Times New Roman" w:hAnsi="Helvetica" w:cs="Helvetica"/>
          <w:color w:val="333333"/>
          <w:sz w:val="21"/>
          <w:szCs w:val="21"/>
        </w:rPr>
        <w:t>; </w:t>
      </w:r>
      <w:hyperlink r:id="rId6" w:tgtFrame="_blank" w:history="1">
        <w:r w:rsidR="00A96560" w:rsidRPr="00A96560">
          <w:rPr>
            <w:rFonts w:ascii="Helvetica" w:eastAsia="Times New Roman" w:hAnsi="Helvetica" w:cs="Helvetica"/>
            <w:color w:val="444444"/>
            <w:sz w:val="21"/>
            <w:szCs w:val="21"/>
            <w:u w:val="single"/>
          </w:rPr>
          <w:t>Peter Stein, MD</w:t>
        </w:r>
        <w:r w:rsidR="00A96560" w:rsidRPr="00A96560">
          <w:rPr>
            <w:rFonts w:ascii="Helvetica" w:eastAsia="Times New Roman" w:hAnsi="Helvetica" w:cs="Helvetica"/>
            <w:color w:val="444444"/>
            <w:sz w:val="21"/>
            <w:szCs w:val="21"/>
            <w:u w:val="single"/>
            <w:vertAlign w:val="superscript"/>
          </w:rPr>
          <w:t>1</w:t>
        </w:r>
      </w:hyperlink>
      <w:r w:rsidR="00A96560" w:rsidRPr="00A96560">
        <w:rPr>
          <w:rFonts w:ascii="Helvetica" w:eastAsia="Times New Roman" w:hAnsi="Helvetica" w:cs="Helvetica"/>
          <w:color w:val="333333"/>
          <w:sz w:val="21"/>
          <w:szCs w:val="21"/>
        </w:rPr>
        <w:t>; </w:t>
      </w:r>
      <w:proofErr w:type="spellStart"/>
      <w:r w:rsidR="00A96560" w:rsidRPr="00A96560">
        <w:rPr>
          <w:rFonts w:ascii="Helvetica" w:eastAsia="Times New Roman" w:hAnsi="Helvetica" w:cs="Helvetica"/>
          <w:color w:val="333333"/>
          <w:sz w:val="21"/>
          <w:szCs w:val="21"/>
        </w:rPr>
        <w:fldChar w:fldCharType="begin"/>
      </w:r>
      <w:r w:rsidR="00A96560" w:rsidRPr="00A96560">
        <w:rPr>
          <w:rFonts w:ascii="Helvetica" w:eastAsia="Times New Roman" w:hAnsi="Helvetica" w:cs="Helvetica"/>
          <w:color w:val="333333"/>
          <w:sz w:val="21"/>
          <w:szCs w:val="21"/>
        </w:rPr>
        <w:instrText xml:space="preserve"> HYPERLINK "https://jamanetwork.com/searchresults?author=Patrizia+Cavazzoni&amp;q=Patrizia+Cavazzoni" \t "_blank" </w:instrText>
      </w:r>
      <w:r w:rsidR="00A96560" w:rsidRPr="00A96560">
        <w:rPr>
          <w:rFonts w:ascii="Helvetica" w:eastAsia="Times New Roman" w:hAnsi="Helvetica" w:cs="Helvetica"/>
          <w:color w:val="333333"/>
          <w:sz w:val="21"/>
          <w:szCs w:val="21"/>
        </w:rPr>
        <w:fldChar w:fldCharType="separate"/>
      </w:r>
      <w:r w:rsidR="00A96560" w:rsidRPr="00A96560">
        <w:rPr>
          <w:rFonts w:ascii="Helvetica" w:eastAsia="Times New Roman" w:hAnsi="Helvetica" w:cs="Helvetica"/>
          <w:color w:val="444444"/>
          <w:sz w:val="21"/>
          <w:szCs w:val="21"/>
          <w:u w:val="single"/>
        </w:rPr>
        <w:t>Patrizia</w:t>
      </w:r>
      <w:proofErr w:type="spellEnd"/>
      <w:r w:rsidR="00A96560" w:rsidRPr="00A96560">
        <w:rPr>
          <w:rFonts w:ascii="Helvetica" w:eastAsia="Times New Roman" w:hAnsi="Helvetica" w:cs="Helvetica"/>
          <w:color w:val="444444"/>
          <w:sz w:val="21"/>
          <w:szCs w:val="21"/>
          <w:u w:val="single"/>
        </w:rPr>
        <w:t> </w:t>
      </w:r>
      <w:proofErr w:type="spellStart"/>
      <w:r w:rsidR="00A96560" w:rsidRPr="00A96560">
        <w:rPr>
          <w:rFonts w:ascii="Helvetica" w:eastAsia="Times New Roman" w:hAnsi="Helvetica" w:cs="Helvetica"/>
          <w:color w:val="444444"/>
          <w:sz w:val="21"/>
          <w:szCs w:val="21"/>
          <w:u w:val="single"/>
        </w:rPr>
        <w:t>Cavazzoni</w:t>
      </w:r>
      <w:proofErr w:type="spellEnd"/>
      <w:r w:rsidR="00A96560" w:rsidRPr="00A96560">
        <w:rPr>
          <w:rFonts w:ascii="Helvetica" w:eastAsia="Times New Roman" w:hAnsi="Helvetica" w:cs="Helvetica"/>
          <w:color w:val="444444"/>
          <w:sz w:val="21"/>
          <w:szCs w:val="21"/>
          <w:u w:val="single"/>
        </w:rPr>
        <w:t>, MD</w:t>
      </w:r>
      <w:r w:rsidR="00A96560" w:rsidRPr="00A96560">
        <w:rPr>
          <w:rFonts w:ascii="Helvetica" w:eastAsia="Times New Roman" w:hAnsi="Helvetica" w:cs="Helvetica"/>
          <w:color w:val="444444"/>
          <w:sz w:val="21"/>
          <w:szCs w:val="21"/>
          <w:u w:val="single"/>
          <w:vertAlign w:val="superscript"/>
        </w:rPr>
        <w:t>1</w:t>
      </w:r>
      <w:r w:rsidR="00A96560" w:rsidRPr="00A96560">
        <w:rPr>
          <w:rFonts w:ascii="Helvetica" w:eastAsia="Times New Roman" w:hAnsi="Helvetica" w:cs="Helvetica"/>
          <w:color w:val="333333"/>
          <w:sz w:val="21"/>
          <w:szCs w:val="21"/>
        </w:rPr>
        <w:fldChar w:fldCharType="end"/>
      </w:r>
    </w:p>
    <w:p w14:paraId="2C1DDB99" w14:textId="77777777" w:rsidR="00A96560" w:rsidRPr="00A96560" w:rsidRDefault="00A96560" w:rsidP="00A96560">
      <w:pPr>
        <w:spacing w:after="120" w:line="240" w:lineRule="auto"/>
        <w:rPr>
          <w:rFonts w:ascii="Helvetica" w:eastAsia="Times New Roman" w:hAnsi="Helvetica" w:cs="Helvetica"/>
          <w:color w:val="444444"/>
          <w:sz w:val="21"/>
          <w:szCs w:val="21"/>
        </w:rPr>
      </w:pPr>
      <w:r w:rsidRPr="00A96560">
        <w:rPr>
          <w:rFonts w:ascii="Helvetica" w:eastAsia="Times New Roman" w:hAnsi="Helvetica" w:cs="Helvetica"/>
          <w:color w:val="444444"/>
          <w:sz w:val="21"/>
          <w:szCs w:val="21"/>
        </w:rPr>
        <w:t>Author Affiliations </w:t>
      </w:r>
      <w:hyperlink r:id="rId7" w:anchor="247886470" w:history="1">
        <w:r w:rsidRPr="00A96560">
          <w:rPr>
            <w:rFonts w:ascii="Helvetica" w:eastAsia="Times New Roman" w:hAnsi="Helvetica" w:cs="Helvetica"/>
            <w:color w:val="005276"/>
            <w:sz w:val="21"/>
            <w:szCs w:val="21"/>
            <w:u w:val="single"/>
          </w:rPr>
          <w:t>Article Information</w:t>
        </w:r>
      </w:hyperlink>
    </w:p>
    <w:p w14:paraId="107E37B4" w14:textId="6142766C" w:rsidR="00A96560" w:rsidRDefault="00A96560" w:rsidP="00A96560">
      <w:pPr>
        <w:spacing w:line="240" w:lineRule="auto"/>
        <w:rPr>
          <w:rFonts w:ascii="Helvetica" w:eastAsia="Times New Roman" w:hAnsi="Helvetica" w:cs="Helvetica"/>
          <w:color w:val="333333"/>
          <w:sz w:val="21"/>
          <w:szCs w:val="21"/>
        </w:rPr>
      </w:pPr>
      <w:r w:rsidRPr="00A96560">
        <w:rPr>
          <w:rFonts w:ascii="Helvetica" w:eastAsia="Times New Roman" w:hAnsi="Helvetica" w:cs="Helvetica"/>
          <w:i/>
          <w:iCs/>
          <w:color w:val="333333"/>
          <w:sz w:val="21"/>
          <w:szCs w:val="21"/>
        </w:rPr>
        <w:t>JAMA Intern Med. </w:t>
      </w:r>
      <w:r w:rsidRPr="00A96560">
        <w:rPr>
          <w:rFonts w:ascii="Helvetica" w:eastAsia="Times New Roman" w:hAnsi="Helvetica" w:cs="Helvetica"/>
          <w:color w:val="333333"/>
          <w:sz w:val="21"/>
          <w:szCs w:val="21"/>
        </w:rPr>
        <w:t>Published online July 13, 2021. doi:10.1001/jamainternmed.2021.4607</w:t>
      </w:r>
    </w:p>
    <w:p w14:paraId="4DC5EB92" w14:textId="785DC444" w:rsidR="00A96560" w:rsidRPr="00A96560" w:rsidRDefault="001A680D" w:rsidP="00A96560">
      <w:pPr>
        <w:spacing w:line="240" w:lineRule="auto"/>
        <w:rPr>
          <w:rFonts w:ascii="Helvetica" w:eastAsia="Times New Roman" w:hAnsi="Helvetica" w:cs="Helvetica"/>
          <w:color w:val="333333"/>
          <w:sz w:val="21"/>
          <w:szCs w:val="21"/>
        </w:rPr>
      </w:pPr>
      <w:hyperlink r:id="rId8" w:history="1">
        <w:r w:rsidR="00A96560" w:rsidRPr="004F5896">
          <w:rPr>
            <w:rStyle w:val="Hyperlink"/>
            <w:rFonts w:ascii="Helvetica" w:eastAsia="Times New Roman" w:hAnsi="Helvetica" w:cs="Helvetica"/>
            <w:sz w:val="21"/>
            <w:szCs w:val="21"/>
          </w:rPr>
          <w:t>https://jamanetwork.com/journals/jamainternalmedicine/fullarticle/2782119</w:t>
        </w:r>
      </w:hyperlink>
      <w:r w:rsidR="00A96560">
        <w:rPr>
          <w:rFonts w:ascii="Helvetica" w:eastAsia="Times New Roman" w:hAnsi="Helvetica" w:cs="Helvetica"/>
          <w:color w:val="333333"/>
          <w:sz w:val="21"/>
          <w:szCs w:val="21"/>
        </w:rPr>
        <w:t xml:space="preserve"> </w:t>
      </w:r>
    </w:p>
    <w:p w14:paraId="532AEC0B" w14:textId="77777777" w:rsidR="00A96560" w:rsidRPr="00A96560" w:rsidRDefault="00A96560" w:rsidP="00A96560">
      <w:pPr>
        <w:spacing w:after="300" w:line="240" w:lineRule="auto"/>
        <w:rPr>
          <w:rFonts w:ascii="Helvetica" w:eastAsia="Times New Roman" w:hAnsi="Helvetica" w:cs="Helvetica"/>
          <w:color w:val="333333"/>
        </w:rPr>
      </w:pPr>
      <w:r w:rsidRPr="00A96560">
        <w:rPr>
          <w:rFonts w:ascii="Helvetica" w:eastAsia="Times New Roman" w:hAnsi="Helvetica" w:cs="Helvetica"/>
          <w:color w:val="333333"/>
          <w:sz w:val="84"/>
          <w:szCs w:val="84"/>
        </w:rPr>
        <w:t>O</w:t>
      </w:r>
      <w:r w:rsidRPr="00A96560">
        <w:rPr>
          <w:rFonts w:ascii="Helvetica" w:eastAsia="Times New Roman" w:hAnsi="Helvetica" w:cs="Helvetica"/>
          <w:color w:val="333333"/>
        </w:rPr>
        <w:t>n June 7, 2021, the US Food and Drug Administration (FDA) approved aducanumab (</w:t>
      </w:r>
      <w:proofErr w:type="spellStart"/>
      <w:r w:rsidRPr="00A96560">
        <w:rPr>
          <w:rFonts w:ascii="Helvetica" w:eastAsia="Times New Roman" w:hAnsi="Helvetica" w:cs="Helvetica"/>
          <w:color w:val="333333"/>
        </w:rPr>
        <w:t>Aduhelm</w:t>
      </w:r>
      <w:proofErr w:type="spellEnd"/>
      <w:r w:rsidRPr="00A96560">
        <w:rPr>
          <w:rFonts w:ascii="Helvetica" w:eastAsia="Times New Roman" w:hAnsi="Helvetica" w:cs="Helvetica"/>
          <w:color w:val="333333"/>
        </w:rPr>
        <w:t>; Biogen Inc), the first new drug for the treatment of Alzheimer disease in 2 decades. Alzheimer disease, the sixth leading cause of death in the US, is a neurodegenerative disease leading to a progressive, irreversible destruction of neurons resulting in loss of cognitive function and memory. Over time, patients develop severe dementia, loss of independence, and death.</w:t>
      </w:r>
      <w:hyperlink r:id="rId9" w:anchor="ivp210011r1" w:history="1">
        <w:r w:rsidRPr="00A96560">
          <w:rPr>
            <w:rFonts w:ascii="Helvetica" w:eastAsia="Times New Roman" w:hAnsi="Helvetica" w:cs="Helvetica"/>
            <w:color w:val="005276"/>
            <w:u w:val="single"/>
            <w:vertAlign w:val="superscript"/>
          </w:rPr>
          <w:t>1</w:t>
        </w:r>
      </w:hyperlink>
      <w:r w:rsidRPr="00A96560">
        <w:rPr>
          <w:rFonts w:ascii="Helvetica" w:eastAsia="Times New Roman" w:hAnsi="Helvetica" w:cs="Helvetica"/>
          <w:color w:val="333333"/>
        </w:rPr>
        <w:t> Unfortunately, pharmacologic treatment options have been extremely limited, with the few previously approved drugs providing only symptomatic improvement, but not modifying disease progression. Undoubtedly, there is a substantial unmet medical need in patients with Alzheimer disease. In this Viewpoint, we discuss the complexities of the data supporting the aducanumab application and the rationale for the FDA’s decision to grant it accelerated approval.</w:t>
      </w:r>
    </w:p>
    <w:p w14:paraId="30AE40C8" w14:textId="77777777" w:rsidR="00A96560" w:rsidRPr="00A96560" w:rsidRDefault="00A96560" w:rsidP="00A96560">
      <w:pPr>
        <w:spacing w:after="300" w:line="240" w:lineRule="auto"/>
        <w:rPr>
          <w:rFonts w:ascii="Helvetica" w:eastAsia="Times New Roman" w:hAnsi="Helvetica" w:cs="Helvetica"/>
          <w:color w:val="333333"/>
        </w:rPr>
      </w:pPr>
      <w:r w:rsidRPr="00A96560">
        <w:rPr>
          <w:rFonts w:ascii="Helvetica" w:eastAsia="Times New Roman" w:hAnsi="Helvetica" w:cs="Helvetica"/>
          <w:color w:val="333333"/>
        </w:rPr>
        <w:t>Aducanumab is administered monthly as an intravenous infusion. The drug is an IgG1 anti–amyloid-β (Aβ) antibody targeting Aβ aggregates—a pathological hallmark of Alzheimer disease—with binding intended to lead to Aβ plaque clearance. The decision to approve this drug was based on our review of data in the application, including 3 clinical studies providing the primary evidence concerning the effectiveness of this drug: study 103 (</w:t>
      </w:r>
      <w:hyperlink r:id="rId10" w:history="1">
        <w:r w:rsidRPr="00A96560">
          <w:rPr>
            <w:rFonts w:ascii="Helvetica" w:eastAsia="Times New Roman" w:hAnsi="Helvetica" w:cs="Helvetica"/>
            <w:color w:val="005276"/>
            <w:u w:val="single"/>
          </w:rPr>
          <w:t>NCT01677572</w:t>
        </w:r>
      </w:hyperlink>
      <w:r w:rsidRPr="00A96560">
        <w:rPr>
          <w:rFonts w:ascii="Helvetica" w:eastAsia="Times New Roman" w:hAnsi="Helvetica" w:cs="Helvetica"/>
          <w:color w:val="333333"/>
        </w:rPr>
        <w:t>), study 301 (</w:t>
      </w:r>
      <w:hyperlink r:id="rId11" w:history="1">
        <w:r w:rsidRPr="00A96560">
          <w:rPr>
            <w:rFonts w:ascii="Helvetica" w:eastAsia="Times New Roman" w:hAnsi="Helvetica" w:cs="Helvetica"/>
            <w:color w:val="005276"/>
            <w:u w:val="single"/>
          </w:rPr>
          <w:t>NCT02477800</w:t>
        </w:r>
      </w:hyperlink>
      <w:r w:rsidRPr="00A96560">
        <w:rPr>
          <w:rFonts w:ascii="Helvetica" w:eastAsia="Times New Roman" w:hAnsi="Helvetica" w:cs="Helvetica"/>
          <w:color w:val="333333"/>
        </w:rPr>
        <w:t>), and study 302 (</w:t>
      </w:r>
      <w:hyperlink r:id="rId12" w:history="1">
        <w:r w:rsidRPr="00A96560">
          <w:rPr>
            <w:rFonts w:ascii="Helvetica" w:eastAsia="Times New Roman" w:hAnsi="Helvetica" w:cs="Helvetica"/>
            <w:color w:val="005276"/>
            <w:u w:val="single"/>
          </w:rPr>
          <w:t>NCT02484547</w:t>
        </w:r>
      </w:hyperlink>
      <w:r w:rsidRPr="00A96560">
        <w:rPr>
          <w:rFonts w:ascii="Helvetica" w:eastAsia="Times New Roman" w:hAnsi="Helvetica" w:cs="Helvetica"/>
          <w:color w:val="333333"/>
        </w:rPr>
        <w:t>). The first (study 103) was an early-phase randomized sequential cohort double-blind study with 197 participants, evaluating doses up to 10 mg/kg every 4 weeks. Results showed clear dose-dependent and time-dependent reduction in Aβ plaque and dose-related improvements in standard Alzheimer disease end points, including the Clinical Dementia Rating-Sum of Boxes (CDR-SB) and the Mini Mental Status Examination (MMSE), with statistical significance at the 10 mg/kg dose for both of these end points.</w:t>
      </w:r>
    </w:p>
    <w:p w14:paraId="27F809E1" w14:textId="77777777" w:rsidR="00A96560" w:rsidRPr="00A96560" w:rsidRDefault="00A96560" w:rsidP="00A96560">
      <w:pPr>
        <w:spacing w:after="300" w:line="240" w:lineRule="auto"/>
        <w:rPr>
          <w:rFonts w:ascii="Helvetica" w:eastAsia="Times New Roman" w:hAnsi="Helvetica" w:cs="Helvetica"/>
          <w:color w:val="333333"/>
        </w:rPr>
      </w:pPr>
      <w:r w:rsidRPr="00A96560">
        <w:rPr>
          <w:rFonts w:ascii="Helvetica" w:eastAsia="Times New Roman" w:hAnsi="Helvetica" w:cs="Helvetica"/>
          <w:color w:val="333333"/>
        </w:rPr>
        <w:t xml:space="preserve">The other 2 studies (301 and 302) were randomized double-blind placebo-controlled, similarly designed, adequate, and well-controlled phase 3 studies, which included 1647 and 1638 participants, respectively. These studies provided conflicting results. Study 302 showed significant improvement in CDR-SB and 3 other secondary end points at </w:t>
      </w:r>
      <w:r w:rsidRPr="00A96560">
        <w:rPr>
          <w:rFonts w:ascii="Helvetica" w:eastAsia="Times New Roman" w:hAnsi="Helvetica" w:cs="Helvetica"/>
          <w:color w:val="333333"/>
        </w:rPr>
        <w:lastRenderedPageBreak/>
        <w:t>the high dose (now the approved dose of 10 mg/kg after titration). These secondary end points (Alzheimer Disease Assessment Scale, Cognitive Subscale [13 items; ADAS-Cog 13]; Alzheimer Disease Cooperative Study, Activities of Daily Living Inventory [Mild Cognitive Impairment version; ADCS-ADL-MCI] and MMSE) evaluate cognitive function, memory, and social and personal functioning using different approaches and scales. They are only modestly correlated with the primary end point (CDR-SB) and each other; of note, the </w:t>
      </w:r>
      <w:r w:rsidRPr="00A96560">
        <w:rPr>
          <w:rFonts w:ascii="Helvetica" w:eastAsia="Times New Roman" w:hAnsi="Helvetica" w:cs="Helvetica"/>
          <w:i/>
          <w:iCs/>
          <w:color w:val="333333"/>
        </w:rPr>
        <w:t>P</w:t>
      </w:r>
      <w:r w:rsidRPr="00A96560">
        <w:rPr>
          <w:rFonts w:ascii="Helvetica" w:eastAsia="Times New Roman" w:hAnsi="Helvetica" w:cs="Helvetica"/>
          <w:color w:val="333333"/>
        </w:rPr>
        <w:t xml:space="preserve"> values for the differences between groups for ADCS-ADL-MCI and ADAS-Cog 13 were impressively </w:t>
      </w:r>
      <w:proofErr w:type="spellStart"/>
      <w:r w:rsidRPr="00A96560">
        <w:rPr>
          <w:rFonts w:ascii="Helvetica" w:eastAsia="Times New Roman" w:hAnsi="Helvetica" w:cs="Helvetica"/>
          <w:color w:val="333333"/>
        </w:rPr>
        <w:t>signficant</w:t>
      </w:r>
      <w:proofErr w:type="spellEnd"/>
      <w:r w:rsidRPr="00A96560">
        <w:rPr>
          <w:rFonts w:ascii="Helvetica" w:eastAsia="Times New Roman" w:hAnsi="Helvetica" w:cs="Helvetica"/>
          <w:color w:val="333333"/>
        </w:rPr>
        <w:t>. These results supporting the effectiveness of aducanumab were not replicated in the other phase 3 study (study 301).</w:t>
      </w:r>
    </w:p>
    <w:p w14:paraId="719FD2AE" w14:textId="77777777" w:rsidR="00A96560" w:rsidRPr="00A96560" w:rsidRDefault="00A96560" w:rsidP="00A96560">
      <w:pPr>
        <w:spacing w:after="300" w:line="240" w:lineRule="auto"/>
        <w:rPr>
          <w:rFonts w:ascii="Helvetica" w:eastAsia="Times New Roman" w:hAnsi="Helvetica" w:cs="Helvetica"/>
          <w:color w:val="333333"/>
        </w:rPr>
      </w:pPr>
      <w:r w:rsidRPr="00A96560">
        <w:rPr>
          <w:rFonts w:ascii="Helvetica" w:eastAsia="Times New Roman" w:hAnsi="Helvetica" w:cs="Helvetica"/>
          <w:color w:val="333333"/>
        </w:rPr>
        <w:t>Notably, study 301 and study 302 were stopped for futility based on a preplanned pooled study analysis. Subsequently, when the studies were analyzed individually, discrepant results were found. Exploratory assessments to understand the discrepancy suggested some potential contributions to the differences between the studies, such as differences in the disease course and differences in response by number of treatments received—but the key conclusion remained that a strongly positive study was not substantiated by a second similarly designed study. Additional pharmacometrics analyses using end point transformations and a linear model showed that there was, in fact, a drug exposure-response association with CDR-SB, ADAS-Cog 13 and ADCS-ADL-MCI seen in both of the phase 3 studies, further supporting aducanumab’s effectiveness.</w:t>
      </w:r>
    </w:p>
    <w:p w14:paraId="1B62442A" w14:textId="77777777" w:rsidR="00A96560" w:rsidRPr="00A96560" w:rsidRDefault="00A96560" w:rsidP="00A96560">
      <w:pPr>
        <w:spacing w:after="300" w:line="240" w:lineRule="auto"/>
        <w:rPr>
          <w:rFonts w:ascii="Helvetica" w:eastAsia="Times New Roman" w:hAnsi="Helvetica" w:cs="Helvetica"/>
          <w:color w:val="333333"/>
        </w:rPr>
      </w:pPr>
      <w:r w:rsidRPr="00A96560">
        <w:rPr>
          <w:rFonts w:ascii="Helvetica" w:eastAsia="Times New Roman" w:hAnsi="Helvetica" w:cs="Helvetica"/>
          <w:color w:val="333333"/>
        </w:rPr>
        <w:t xml:space="preserve">Although evidence from the aducanumab program was suggestive of clinical benefit—strongly so in study 302 with support from study 103—we concluded, as did the FDA’s Peripheral and Central Nervous System Advisory Committee, that the clinical trial data were not adequate on their own to convincingly demonstrate a clinical benefit in reducing clinical decline in patients with Alzheimer disease. </w:t>
      </w:r>
      <w:r w:rsidRPr="00A96560">
        <w:rPr>
          <w:rFonts w:ascii="Helvetica" w:eastAsia="Times New Roman" w:hAnsi="Helvetica" w:cs="Helvetica"/>
          <w:color w:val="333333"/>
          <w:highlight w:val="yellow"/>
        </w:rPr>
        <w:t>After reaching this conclusion, we faced a challenge: available evidence was strongly suggestive of a benefit from aducanumab but was complicated and in some respects contradictory; yet patients with Alzheimer disease are in urgent need of treatments that delay disease progression and loss of function. Such a situation is recognized and addressed in the statute that provides the FDA with the authority to approve a drug using the accelerated approval pathway.</w:t>
      </w:r>
      <w:hyperlink r:id="rId13" w:anchor="ivp210011r2" w:history="1">
        <w:r w:rsidRPr="00A96560">
          <w:rPr>
            <w:rFonts w:ascii="Helvetica" w:eastAsia="Times New Roman" w:hAnsi="Helvetica" w:cs="Helvetica"/>
            <w:color w:val="005276"/>
            <w:highlight w:val="yellow"/>
            <w:u w:val="single"/>
            <w:vertAlign w:val="superscript"/>
          </w:rPr>
          <w:t>2</w:t>
        </w:r>
      </w:hyperlink>
    </w:p>
    <w:p w14:paraId="23DDC8EA" w14:textId="77777777" w:rsidR="00A96560" w:rsidRPr="00A96560" w:rsidRDefault="00A96560" w:rsidP="00A96560">
      <w:pPr>
        <w:spacing w:after="300" w:line="240" w:lineRule="auto"/>
        <w:rPr>
          <w:rFonts w:ascii="Helvetica" w:eastAsia="Times New Roman" w:hAnsi="Helvetica" w:cs="Helvetica"/>
          <w:color w:val="333333"/>
        </w:rPr>
      </w:pPr>
      <w:r w:rsidRPr="00A96560">
        <w:rPr>
          <w:rFonts w:ascii="Helvetica" w:eastAsia="Times New Roman" w:hAnsi="Helvetica" w:cs="Helvetica"/>
          <w:color w:val="333333"/>
          <w:highlight w:val="yellow"/>
        </w:rPr>
        <w:t>Accelerated approval is intended to provide earlier access to drugs for serious diseases when there is residual uncertainty at the time of approval regarding the drug’s ultimate clinical benefit. Accelerated approval is permitted when 4 requirements are met: (1) the drug must be for treatment of a serious disease with unmet medical needs; (2) the drug must be expected to provide meaningful clinical advantage over available therapy; (3) there must be a showing of an effect of the drug on a surrogate end point (typically, that reflects the underlying pathology of the disease); and (4) there must be a determination that it is reasonably likely that the effect on the surrogate end point predicts clinical benefit of the drug.</w:t>
      </w:r>
      <w:hyperlink r:id="rId14" w:anchor="ivp210011r2" w:history="1">
        <w:r w:rsidRPr="00A96560">
          <w:rPr>
            <w:rFonts w:ascii="Helvetica" w:eastAsia="Times New Roman" w:hAnsi="Helvetica" w:cs="Helvetica"/>
            <w:color w:val="005276"/>
            <w:highlight w:val="yellow"/>
            <w:u w:val="single"/>
            <w:vertAlign w:val="superscript"/>
          </w:rPr>
          <w:t>2</w:t>
        </w:r>
      </w:hyperlink>
      <w:r w:rsidRPr="00A96560">
        <w:rPr>
          <w:rFonts w:ascii="Helvetica" w:eastAsia="Times New Roman" w:hAnsi="Helvetica" w:cs="Helvetica"/>
          <w:color w:val="333333"/>
          <w:highlight w:val="yellow"/>
        </w:rPr>
        <w:t> “Reasonably likely to predict” a clinical benefit is the specific wording of the statute, not “certain to provide benefit.”</w:t>
      </w:r>
      <w:r w:rsidRPr="00A96560">
        <w:rPr>
          <w:rFonts w:ascii="Helvetica" w:eastAsia="Times New Roman" w:hAnsi="Helvetica" w:cs="Helvetica"/>
          <w:color w:val="333333"/>
        </w:rPr>
        <w:t xml:space="preserve"> When the FDA approves a drug under accelerated approval, it does so recognizing that there is residual uncertainty regarding clinical benefit and that a further trial may be required to verify the drug’s </w:t>
      </w:r>
      <w:r w:rsidRPr="00A96560">
        <w:rPr>
          <w:rFonts w:ascii="Helvetica" w:eastAsia="Times New Roman" w:hAnsi="Helvetica" w:cs="Helvetica"/>
          <w:color w:val="333333"/>
        </w:rPr>
        <w:lastRenderedPageBreak/>
        <w:t xml:space="preserve">effectiveness. Regarding aducanumab, </w:t>
      </w:r>
      <w:r w:rsidRPr="00A96560">
        <w:rPr>
          <w:rFonts w:ascii="Helvetica" w:eastAsia="Times New Roman" w:hAnsi="Helvetica" w:cs="Helvetica"/>
          <w:color w:val="333333"/>
          <w:highlight w:val="yellow"/>
        </w:rPr>
        <w:t>the FDA has required that another trial be conducted.</w:t>
      </w:r>
    </w:p>
    <w:p w14:paraId="0E7181B1" w14:textId="77777777" w:rsidR="00A96560" w:rsidRPr="00A96560" w:rsidRDefault="00A96560" w:rsidP="00A96560">
      <w:pPr>
        <w:spacing w:after="300" w:line="240" w:lineRule="auto"/>
        <w:rPr>
          <w:rFonts w:ascii="Helvetica" w:eastAsia="Times New Roman" w:hAnsi="Helvetica" w:cs="Helvetica"/>
          <w:color w:val="333333"/>
        </w:rPr>
      </w:pPr>
      <w:r w:rsidRPr="00A96560">
        <w:rPr>
          <w:rFonts w:ascii="Helvetica" w:eastAsia="Times New Roman" w:hAnsi="Helvetica" w:cs="Helvetica"/>
          <w:color w:val="333333"/>
        </w:rPr>
        <w:t>Aducanumab fits into this regulatory paradigm. First, Alzheimer disease is a serious disease, with only symptomatic treatments that have not been demonstrated to delay progressive loss of cognitive or memory function. Second, the drug, by targeting a key underlying pathological process, accumulation of Aβ plaque in the brain, is expected to provide meaningful benefit over available therapy. Third, in both phase 3 trials and the earlier-phase clinical trial, aducanumab clearly and convincingly reduced Aβ plaque—a key pathological hallmark and defining characteristic of the disease.</w:t>
      </w:r>
    </w:p>
    <w:p w14:paraId="33891E1F" w14:textId="77777777" w:rsidR="00A96560" w:rsidRPr="00A96560" w:rsidRDefault="00A96560" w:rsidP="00A96560">
      <w:pPr>
        <w:spacing w:after="300" w:line="240" w:lineRule="auto"/>
        <w:rPr>
          <w:rFonts w:ascii="Helvetica" w:eastAsia="Times New Roman" w:hAnsi="Helvetica" w:cs="Helvetica"/>
          <w:color w:val="333333"/>
        </w:rPr>
      </w:pPr>
      <w:r w:rsidRPr="00A96560">
        <w:rPr>
          <w:rFonts w:ascii="Helvetica" w:eastAsia="Times New Roman" w:hAnsi="Helvetica" w:cs="Helvetica"/>
          <w:color w:val="333333"/>
        </w:rPr>
        <w:t>There was a generally consistent association between the reduction in Aβ and the improvement in CDR-SB with aducanumab treatment. The FDA’s clinical pharmacology experts, reviewing publicly available information from other monoclonal antibodies, found a similarly convincing relationship between Aβ plaque reduction and improvement in CDR-SB.</w:t>
      </w:r>
      <w:hyperlink r:id="rId15" w:anchor="ivp210011r3" w:history="1">
        <w:r w:rsidRPr="00A96560">
          <w:rPr>
            <w:rFonts w:ascii="Helvetica" w:eastAsia="Times New Roman" w:hAnsi="Helvetica" w:cs="Helvetica"/>
            <w:color w:val="005276"/>
            <w:u w:val="single"/>
            <w:vertAlign w:val="superscript"/>
          </w:rPr>
          <w:t>3</w:t>
        </w:r>
      </w:hyperlink>
      <w:r w:rsidRPr="00A96560">
        <w:rPr>
          <w:rFonts w:ascii="Helvetica" w:eastAsia="Times New Roman" w:hAnsi="Helvetica" w:cs="Helvetica"/>
          <w:color w:val="333333"/>
        </w:rPr>
        <w:t> Although there have been prior trials of monoclonal antibodies directed at Aβ that did not show clinical benefit,</w:t>
      </w:r>
      <w:hyperlink r:id="rId16" w:anchor="ivp210011r4" w:history="1">
        <w:r w:rsidRPr="00A96560">
          <w:rPr>
            <w:rFonts w:ascii="Helvetica" w:eastAsia="Times New Roman" w:hAnsi="Helvetica" w:cs="Helvetica"/>
            <w:color w:val="005276"/>
            <w:u w:val="single"/>
            <w:vertAlign w:val="superscript"/>
          </w:rPr>
          <w:t>4</w:t>
        </w:r>
      </w:hyperlink>
      <w:r w:rsidRPr="00A96560">
        <w:rPr>
          <w:rFonts w:ascii="Helvetica" w:eastAsia="Times New Roman" w:hAnsi="Helvetica" w:cs="Helvetica"/>
          <w:color w:val="333333"/>
          <w:vertAlign w:val="superscript"/>
        </w:rPr>
        <w:t>-</w:t>
      </w:r>
      <w:hyperlink r:id="rId17" w:anchor="ivp210011r4" w:history="1">
        <w:r w:rsidRPr="00A96560">
          <w:rPr>
            <w:rFonts w:ascii="Helvetica" w:eastAsia="Times New Roman" w:hAnsi="Helvetica" w:cs="Helvetica"/>
            <w:color w:val="005276"/>
            <w:u w:val="single"/>
            <w:vertAlign w:val="superscript"/>
          </w:rPr>
          <w:t>8</w:t>
        </w:r>
      </w:hyperlink>
      <w:r w:rsidRPr="00A96560">
        <w:rPr>
          <w:rFonts w:ascii="Helvetica" w:eastAsia="Times New Roman" w:hAnsi="Helvetica" w:cs="Helvetica"/>
          <w:color w:val="333333"/>
        </w:rPr>
        <w:t> the extent of reduction of Aβ in these trials was nil or smaller than the effect size on plaque seen in more recent drug development programs, including the aducanumab program, that have reported evidence of clinical benefit.</w:t>
      </w:r>
      <w:hyperlink r:id="rId18" w:anchor="ivp210011r9" w:history="1">
        <w:r w:rsidRPr="00A96560">
          <w:rPr>
            <w:rFonts w:ascii="Helvetica" w:eastAsia="Times New Roman" w:hAnsi="Helvetica" w:cs="Helvetica"/>
            <w:color w:val="005276"/>
            <w:u w:val="single"/>
            <w:vertAlign w:val="superscript"/>
          </w:rPr>
          <w:t>9</w:t>
        </w:r>
      </w:hyperlink>
      <w:r w:rsidRPr="00A96560">
        <w:rPr>
          <w:rFonts w:ascii="Helvetica" w:eastAsia="Times New Roman" w:hAnsi="Helvetica" w:cs="Helvetica"/>
          <w:color w:val="333333"/>
          <w:vertAlign w:val="superscript"/>
        </w:rPr>
        <w:t>,</w:t>
      </w:r>
      <w:hyperlink r:id="rId19" w:anchor="ivp210011r10" w:history="1">
        <w:r w:rsidRPr="00A96560">
          <w:rPr>
            <w:rFonts w:ascii="Helvetica" w:eastAsia="Times New Roman" w:hAnsi="Helvetica" w:cs="Helvetica"/>
            <w:color w:val="005276"/>
            <w:u w:val="single"/>
            <w:vertAlign w:val="superscript"/>
          </w:rPr>
          <w:t>10</w:t>
        </w:r>
      </w:hyperlink>
    </w:p>
    <w:p w14:paraId="2E55554B" w14:textId="77777777" w:rsidR="00A96560" w:rsidRPr="00A96560" w:rsidRDefault="00A96560" w:rsidP="00A96560">
      <w:pPr>
        <w:spacing w:after="300" w:line="240" w:lineRule="auto"/>
        <w:rPr>
          <w:rFonts w:ascii="Helvetica" w:eastAsia="Times New Roman" w:hAnsi="Helvetica" w:cs="Helvetica"/>
          <w:color w:val="333333"/>
        </w:rPr>
      </w:pPr>
      <w:r w:rsidRPr="00A96560">
        <w:rPr>
          <w:rFonts w:ascii="Helvetica" w:eastAsia="Times New Roman" w:hAnsi="Helvetica" w:cs="Helvetica"/>
          <w:color w:val="333333"/>
        </w:rPr>
        <w:t>Based on the FDA’s assessment that the clinical trial data provided a strong suggestion of clinical benefit in the presence of a surrogate end point shown to be improved by the drug, and with solid data supporting the conclusion that the surrogate end point is reasonably likely to predict clinical benefit, we concluded that accelerated approval for aducanumab was appropriate and warranted. The primary risk of the drug is an increase in the occurrence of Aβ-related imaging abnormalities (ARIAs) in patients treated with aducanumab. In the pooled safety analysis from the phase 3 studies (301 and 302), this occurred in 41% of patients who received aducanumab and in 10% of patients who received a placebo. On magnetic resonance imaging, ARIAs could be observed as edema or hemosiderin deposition (an indication of microhemorrhage and hemosiderosis) and were usually (76%) asymptomatic. When symptoms did occur, they were rarely (0.3%) reported as serious adverse events. Both asymptomatic and symptomatic ARIAs resolved in a high proportion of patients. The safety profile of aducanumab was well characterized in the development program and did not preclude approval.</w:t>
      </w:r>
    </w:p>
    <w:p w14:paraId="1AB5E368" w14:textId="77777777" w:rsidR="00A96560" w:rsidRPr="00A96560" w:rsidRDefault="00A96560" w:rsidP="00A96560">
      <w:pPr>
        <w:spacing w:after="300" w:line="240" w:lineRule="auto"/>
        <w:rPr>
          <w:rFonts w:ascii="Helvetica" w:eastAsia="Times New Roman" w:hAnsi="Helvetica" w:cs="Helvetica"/>
          <w:color w:val="333333"/>
        </w:rPr>
      </w:pPr>
      <w:r w:rsidRPr="00A96560">
        <w:rPr>
          <w:rFonts w:ascii="Helvetica" w:eastAsia="Times New Roman" w:hAnsi="Helvetica" w:cs="Helvetica"/>
          <w:color w:val="333333"/>
        </w:rPr>
        <w:t xml:space="preserve">Since residual uncertainty remains about aducanumab’s clinical benefit, as a component of accelerated approval Biogen Inc is required to conduct a </w:t>
      </w:r>
      <w:proofErr w:type="spellStart"/>
      <w:r w:rsidRPr="00A96560">
        <w:rPr>
          <w:rFonts w:ascii="Helvetica" w:eastAsia="Times New Roman" w:hAnsi="Helvetica" w:cs="Helvetica"/>
          <w:color w:val="333333"/>
        </w:rPr>
        <w:t>postapproval</w:t>
      </w:r>
      <w:proofErr w:type="spellEnd"/>
      <w:r w:rsidRPr="00A96560">
        <w:rPr>
          <w:rFonts w:ascii="Helvetica" w:eastAsia="Times New Roman" w:hAnsi="Helvetica" w:cs="Helvetica"/>
          <w:color w:val="333333"/>
        </w:rPr>
        <w:t xml:space="preserve"> trial to verify benefit. This randomized clinical trial of sufficient duration to observe changes on an acceptable clinical end point in patients with Alzheimer disease is currently being planned.</w:t>
      </w:r>
    </w:p>
    <w:p w14:paraId="4EE1D95B" w14:textId="77777777" w:rsidR="00A96560" w:rsidRPr="00A96560" w:rsidRDefault="00A96560" w:rsidP="00A96560">
      <w:pPr>
        <w:spacing w:line="240" w:lineRule="auto"/>
        <w:rPr>
          <w:rFonts w:ascii="Helvetica" w:eastAsia="Times New Roman" w:hAnsi="Helvetica" w:cs="Helvetica"/>
          <w:color w:val="333333"/>
        </w:rPr>
      </w:pPr>
      <w:r w:rsidRPr="00A96560">
        <w:rPr>
          <w:rFonts w:ascii="Helvetica" w:eastAsia="Times New Roman" w:hAnsi="Helvetica" w:cs="Helvetica"/>
          <w:color w:val="333333"/>
        </w:rPr>
        <w:t xml:space="preserve">In weighing the benefits vs the risks of aducanumab, we considered that Alzheimer disease leads to irreversible loss of memory, cognition, and ability to function in daily activities. </w:t>
      </w:r>
      <w:r w:rsidRPr="00A96560">
        <w:rPr>
          <w:rFonts w:ascii="Helvetica" w:eastAsia="Times New Roman" w:hAnsi="Helvetica" w:cs="Helvetica"/>
          <w:color w:val="333333"/>
          <w:highlight w:val="yellow"/>
        </w:rPr>
        <w:t>In listening sessions, we heard from patients and their families</w:t>
      </w:r>
      <w:r w:rsidRPr="00A96560">
        <w:rPr>
          <w:rFonts w:ascii="Helvetica" w:eastAsia="Times New Roman" w:hAnsi="Helvetica" w:cs="Helvetica"/>
          <w:color w:val="333333"/>
        </w:rPr>
        <w:t xml:space="preserve"> about the </w:t>
      </w:r>
      <w:r w:rsidRPr="00A96560">
        <w:rPr>
          <w:rFonts w:ascii="Helvetica" w:eastAsia="Times New Roman" w:hAnsi="Helvetica" w:cs="Helvetica"/>
          <w:color w:val="333333"/>
        </w:rPr>
        <w:lastRenderedPageBreak/>
        <w:t xml:space="preserve">devastating toll the disease has taken and their desire for a treatment to stop or delay functional losses. </w:t>
      </w:r>
      <w:r w:rsidRPr="00A96560">
        <w:rPr>
          <w:rFonts w:ascii="Helvetica" w:eastAsia="Times New Roman" w:hAnsi="Helvetica" w:cs="Helvetica"/>
          <w:color w:val="333333"/>
          <w:highlight w:val="yellow"/>
        </w:rPr>
        <w:t>Many made it clear that they are willing to accept the trade-off of some uncertainty about clinical benefit in exchange for earlier access to a potentially effective drug, which is the exact premise and intent of accelerated approval. If instead, approval had been delayed, the loss of brain function in these patients over this time—which might have been lessened by earlier initiation of treatment—would not be regained.</w:t>
      </w:r>
    </w:p>
    <w:p w14:paraId="22861DB2" w14:textId="77777777" w:rsidR="00833B75" w:rsidRDefault="00833B75"/>
    <w:sectPr w:rsidR="00833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1D56"/>
    <w:multiLevelType w:val="multilevel"/>
    <w:tmpl w:val="6B44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52ACA"/>
    <w:multiLevelType w:val="multilevel"/>
    <w:tmpl w:val="5E90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560"/>
    <w:rsid w:val="001A680D"/>
    <w:rsid w:val="00245452"/>
    <w:rsid w:val="00833B75"/>
    <w:rsid w:val="00A96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AC1B"/>
  <w15:chartTrackingRefBased/>
  <w15:docId w15:val="{2007A32D-71E8-40CE-97F3-225581C7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6560"/>
    <w:rPr>
      <w:color w:val="0563C1" w:themeColor="hyperlink"/>
      <w:u w:val="single"/>
    </w:rPr>
  </w:style>
  <w:style w:type="character" w:styleId="UnresolvedMention">
    <w:name w:val="Unresolved Mention"/>
    <w:basedOn w:val="DefaultParagraphFont"/>
    <w:uiPriority w:val="99"/>
    <w:semiHidden/>
    <w:unhideWhenUsed/>
    <w:rsid w:val="00A96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632121">
      <w:bodyDiv w:val="1"/>
      <w:marLeft w:val="0"/>
      <w:marRight w:val="0"/>
      <w:marTop w:val="0"/>
      <w:marBottom w:val="0"/>
      <w:divBdr>
        <w:top w:val="none" w:sz="0" w:space="0" w:color="auto"/>
        <w:left w:val="none" w:sz="0" w:space="0" w:color="auto"/>
        <w:bottom w:val="none" w:sz="0" w:space="0" w:color="auto"/>
        <w:right w:val="none" w:sz="0" w:space="0" w:color="auto"/>
      </w:divBdr>
      <w:divsChild>
        <w:div w:id="745959842">
          <w:marLeft w:val="0"/>
          <w:marRight w:val="0"/>
          <w:marTop w:val="0"/>
          <w:marBottom w:val="480"/>
          <w:divBdr>
            <w:top w:val="none" w:sz="0" w:space="0" w:color="auto"/>
            <w:left w:val="none" w:sz="0" w:space="0" w:color="auto"/>
            <w:bottom w:val="none" w:sz="0" w:space="0" w:color="auto"/>
            <w:right w:val="none" w:sz="0" w:space="0" w:color="auto"/>
          </w:divBdr>
          <w:divsChild>
            <w:div w:id="1696729057">
              <w:marLeft w:val="0"/>
              <w:marRight w:val="0"/>
              <w:marTop w:val="0"/>
              <w:marBottom w:val="48"/>
              <w:divBdr>
                <w:top w:val="none" w:sz="0" w:space="0" w:color="auto"/>
                <w:left w:val="none" w:sz="0" w:space="0" w:color="auto"/>
                <w:bottom w:val="none" w:sz="0" w:space="0" w:color="auto"/>
                <w:right w:val="none" w:sz="0" w:space="0" w:color="auto"/>
              </w:divBdr>
            </w:div>
            <w:div w:id="1480490767">
              <w:marLeft w:val="0"/>
              <w:marRight w:val="0"/>
              <w:marTop w:val="0"/>
              <w:marBottom w:val="0"/>
              <w:divBdr>
                <w:top w:val="none" w:sz="0" w:space="0" w:color="auto"/>
                <w:left w:val="none" w:sz="0" w:space="0" w:color="auto"/>
                <w:bottom w:val="none" w:sz="0" w:space="0" w:color="auto"/>
                <w:right w:val="none" w:sz="0" w:space="0" w:color="auto"/>
              </w:divBdr>
            </w:div>
            <w:div w:id="51196774">
              <w:marLeft w:val="0"/>
              <w:marRight w:val="0"/>
              <w:marTop w:val="0"/>
              <w:marBottom w:val="180"/>
              <w:divBdr>
                <w:top w:val="none" w:sz="0" w:space="0" w:color="auto"/>
                <w:left w:val="none" w:sz="0" w:space="0" w:color="auto"/>
                <w:bottom w:val="none" w:sz="0" w:space="0" w:color="auto"/>
                <w:right w:val="none" w:sz="0" w:space="0" w:color="auto"/>
              </w:divBdr>
            </w:div>
            <w:div w:id="1919511962">
              <w:marLeft w:val="0"/>
              <w:marRight w:val="0"/>
              <w:marTop w:val="0"/>
              <w:marBottom w:val="120"/>
              <w:divBdr>
                <w:top w:val="none" w:sz="0" w:space="0" w:color="auto"/>
                <w:left w:val="none" w:sz="0" w:space="0" w:color="auto"/>
                <w:bottom w:val="none" w:sz="0" w:space="0" w:color="auto"/>
                <w:right w:val="none" w:sz="0" w:space="0" w:color="auto"/>
              </w:divBdr>
            </w:div>
            <w:div w:id="1670256713">
              <w:marLeft w:val="0"/>
              <w:marRight w:val="0"/>
              <w:marTop w:val="0"/>
              <w:marBottom w:val="0"/>
              <w:divBdr>
                <w:top w:val="none" w:sz="0" w:space="0" w:color="auto"/>
                <w:left w:val="none" w:sz="0" w:space="0" w:color="auto"/>
                <w:bottom w:val="none" w:sz="0" w:space="0" w:color="auto"/>
                <w:right w:val="none" w:sz="0" w:space="0" w:color="auto"/>
              </w:divBdr>
            </w:div>
          </w:divsChild>
        </w:div>
        <w:div w:id="693654795">
          <w:marLeft w:val="0"/>
          <w:marRight w:val="0"/>
          <w:marTop w:val="0"/>
          <w:marBottom w:val="0"/>
          <w:divBdr>
            <w:top w:val="none" w:sz="0" w:space="0" w:color="auto"/>
            <w:left w:val="none" w:sz="0" w:space="0" w:color="auto"/>
            <w:bottom w:val="none" w:sz="0" w:space="0" w:color="auto"/>
            <w:right w:val="none" w:sz="0" w:space="0" w:color="auto"/>
          </w:divBdr>
          <w:divsChild>
            <w:div w:id="1549337658">
              <w:marLeft w:val="0"/>
              <w:marRight w:val="0"/>
              <w:marTop w:val="0"/>
              <w:marBottom w:val="480"/>
              <w:divBdr>
                <w:top w:val="none" w:sz="0" w:space="0" w:color="auto"/>
                <w:left w:val="none" w:sz="0" w:space="0" w:color="auto"/>
                <w:bottom w:val="none" w:sz="0" w:space="0" w:color="auto"/>
                <w:right w:val="none" w:sz="0" w:space="0" w:color="auto"/>
              </w:divBdr>
              <w:divsChild>
                <w:div w:id="617445191">
                  <w:marLeft w:val="0"/>
                  <w:marRight w:val="0"/>
                  <w:marTop w:val="0"/>
                  <w:marBottom w:val="0"/>
                  <w:divBdr>
                    <w:top w:val="none" w:sz="0" w:space="0" w:color="auto"/>
                    <w:left w:val="none" w:sz="0" w:space="0" w:color="auto"/>
                    <w:bottom w:val="none" w:sz="0" w:space="0" w:color="auto"/>
                    <w:right w:val="none" w:sz="0" w:space="0" w:color="auto"/>
                  </w:divBdr>
                  <w:divsChild>
                    <w:div w:id="572084607">
                      <w:marLeft w:val="0"/>
                      <w:marRight w:val="0"/>
                      <w:marTop w:val="0"/>
                      <w:marBottom w:val="0"/>
                      <w:divBdr>
                        <w:top w:val="none" w:sz="0" w:space="0" w:color="auto"/>
                        <w:left w:val="none" w:sz="0" w:space="0" w:color="auto"/>
                        <w:bottom w:val="none" w:sz="0" w:space="0" w:color="auto"/>
                        <w:right w:val="none" w:sz="0" w:space="0" w:color="auto"/>
                      </w:divBdr>
                      <w:divsChild>
                        <w:div w:id="1963537579">
                          <w:marLeft w:val="0"/>
                          <w:marRight w:val="0"/>
                          <w:marTop w:val="0"/>
                          <w:marBottom w:val="0"/>
                          <w:divBdr>
                            <w:top w:val="none" w:sz="0" w:space="0" w:color="auto"/>
                            <w:left w:val="none" w:sz="0" w:space="0" w:color="auto"/>
                            <w:bottom w:val="none" w:sz="0" w:space="0" w:color="auto"/>
                            <w:right w:val="none" w:sz="0" w:space="0" w:color="auto"/>
                          </w:divBdr>
                        </w:div>
                      </w:divsChild>
                    </w:div>
                    <w:div w:id="1546943681">
                      <w:marLeft w:val="0"/>
                      <w:marRight w:val="0"/>
                      <w:marTop w:val="0"/>
                      <w:marBottom w:val="0"/>
                      <w:divBdr>
                        <w:top w:val="none" w:sz="0" w:space="0" w:color="auto"/>
                        <w:left w:val="none" w:sz="0" w:space="0" w:color="auto"/>
                        <w:bottom w:val="none" w:sz="0" w:space="0" w:color="auto"/>
                        <w:right w:val="none" w:sz="0" w:space="0" w:color="auto"/>
                      </w:divBdr>
                      <w:divsChild>
                        <w:div w:id="200693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1302">
                  <w:marLeft w:val="0"/>
                  <w:marRight w:val="0"/>
                  <w:marTop w:val="0"/>
                  <w:marBottom w:val="0"/>
                  <w:divBdr>
                    <w:top w:val="none" w:sz="0" w:space="0" w:color="auto"/>
                    <w:left w:val="none" w:sz="0" w:space="0" w:color="auto"/>
                    <w:bottom w:val="none" w:sz="0" w:space="0" w:color="auto"/>
                    <w:right w:val="none" w:sz="0" w:space="0" w:color="auto"/>
                  </w:divBdr>
                  <w:divsChild>
                    <w:div w:id="1054887174">
                      <w:marLeft w:val="-15"/>
                      <w:marRight w:val="-15"/>
                      <w:marTop w:val="0"/>
                      <w:marBottom w:val="0"/>
                      <w:divBdr>
                        <w:top w:val="none" w:sz="0" w:space="0" w:color="auto"/>
                        <w:left w:val="none" w:sz="0" w:space="0" w:color="auto"/>
                        <w:bottom w:val="none" w:sz="0" w:space="0" w:color="auto"/>
                        <w:right w:val="none" w:sz="0" w:space="0" w:color="auto"/>
                      </w:divBdr>
                      <w:divsChild>
                        <w:div w:id="394550600">
                          <w:marLeft w:val="0"/>
                          <w:marRight w:val="0"/>
                          <w:marTop w:val="0"/>
                          <w:marBottom w:val="0"/>
                          <w:divBdr>
                            <w:top w:val="none" w:sz="0" w:space="0" w:color="auto"/>
                            <w:left w:val="none" w:sz="0" w:space="0" w:color="auto"/>
                            <w:bottom w:val="none" w:sz="0" w:space="0" w:color="auto"/>
                            <w:right w:val="none" w:sz="0" w:space="0" w:color="auto"/>
                          </w:divBdr>
                        </w:div>
                      </w:divsChild>
                    </w:div>
                    <w:div w:id="1709065122">
                      <w:marLeft w:val="-15"/>
                      <w:marRight w:val="-15"/>
                      <w:marTop w:val="0"/>
                      <w:marBottom w:val="0"/>
                      <w:divBdr>
                        <w:top w:val="none" w:sz="0" w:space="0" w:color="auto"/>
                        <w:left w:val="none" w:sz="0" w:space="0" w:color="auto"/>
                        <w:bottom w:val="none" w:sz="0" w:space="0" w:color="auto"/>
                        <w:right w:val="none" w:sz="0" w:space="0" w:color="auto"/>
                      </w:divBdr>
                      <w:divsChild>
                        <w:div w:id="204421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066028">
          <w:marLeft w:val="0"/>
          <w:marRight w:val="0"/>
          <w:marTop w:val="0"/>
          <w:marBottom w:val="720"/>
          <w:divBdr>
            <w:top w:val="none" w:sz="0" w:space="0" w:color="auto"/>
            <w:left w:val="none" w:sz="0" w:space="0" w:color="auto"/>
            <w:bottom w:val="none" w:sz="0" w:space="0" w:color="auto"/>
            <w:right w:val="none" w:sz="0" w:space="0" w:color="auto"/>
          </w:divBdr>
          <w:divsChild>
            <w:div w:id="1519583387">
              <w:marLeft w:val="0"/>
              <w:marRight w:val="0"/>
              <w:marTop w:val="0"/>
              <w:marBottom w:val="0"/>
              <w:divBdr>
                <w:top w:val="none" w:sz="0" w:space="0" w:color="auto"/>
                <w:left w:val="none" w:sz="0" w:space="0" w:color="auto"/>
                <w:bottom w:val="none" w:sz="0" w:space="0" w:color="auto"/>
                <w:right w:val="none" w:sz="0" w:space="0" w:color="auto"/>
              </w:divBdr>
              <w:divsChild>
                <w:div w:id="55563035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manetwork.com/journals/jamainternalmedicine/fullarticle/2782119" TargetMode="External"/><Relationship Id="rId13" Type="http://schemas.openxmlformats.org/officeDocument/2006/relationships/hyperlink" Target="https://jamanetwork.com/journals/jamainternalmedicine/fullarticle/2782119" TargetMode="External"/><Relationship Id="rId18" Type="http://schemas.openxmlformats.org/officeDocument/2006/relationships/hyperlink" Target="https://jamanetwork.com/journals/jamainternalmedicine/fullarticle/278211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jamanetwork.com/journals/jamainternalmedicine/fullarticle/2782119" TargetMode="External"/><Relationship Id="rId12" Type="http://schemas.openxmlformats.org/officeDocument/2006/relationships/hyperlink" Target="https://clinicaltrials.gov/ct2/show/NCT02484547" TargetMode="External"/><Relationship Id="rId17" Type="http://schemas.openxmlformats.org/officeDocument/2006/relationships/hyperlink" Target="https://jamanetwork.com/journals/jamainternalmedicine/fullarticle/2782119" TargetMode="External"/><Relationship Id="rId2" Type="http://schemas.openxmlformats.org/officeDocument/2006/relationships/styles" Target="styles.xml"/><Relationship Id="rId16" Type="http://schemas.openxmlformats.org/officeDocument/2006/relationships/hyperlink" Target="https://jamanetwork.com/journals/jamainternalmedicine/fullarticle/278211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jamanetwork.com/searchresults?author=Peter+Stein&amp;q=Peter+Stein" TargetMode="External"/><Relationship Id="rId11" Type="http://schemas.openxmlformats.org/officeDocument/2006/relationships/hyperlink" Target="https://clinicaltrials.gov/ct2/show/NCT02477800" TargetMode="External"/><Relationship Id="rId5" Type="http://schemas.openxmlformats.org/officeDocument/2006/relationships/hyperlink" Target="https://jamanetwork.com/searchresults?author=Billy+Dunn&amp;q=Billy+Dunn" TargetMode="External"/><Relationship Id="rId15" Type="http://schemas.openxmlformats.org/officeDocument/2006/relationships/hyperlink" Target="https://jamanetwork.com/journals/jamainternalmedicine/fullarticle/2782119" TargetMode="External"/><Relationship Id="rId10" Type="http://schemas.openxmlformats.org/officeDocument/2006/relationships/hyperlink" Target="https://clinicaltrials.gov/ct2/show/NCT01677572" TargetMode="External"/><Relationship Id="rId19" Type="http://schemas.openxmlformats.org/officeDocument/2006/relationships/hyperlink" Target="https://jamanetwork.com/journals/jamainternalmedicine/fullarticle/2782119" TargetMode="External"/><Relationship Id="rId4" Type="http://schemas.openxmlformats.org/officeDocument/2006/relationships/webSettings" Target="webSettings.xml"/><Relationship Id="rId9" Type="http://schemas.openxmlformats.org/officeDocument/2006/relationships/hyperlink" Target="https://jamanetwork.com/journals/jamainternalmedicine/fullarticle/2782119" TargetMode="External"/><Relationship Id="rId14" Type="http://schemas.openxmlformats.org/officeDocument/2006/relationships/hyperlink" Target="https://jamanetwork.com/journals/jamainternalmedicine/fullarticle/2782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1692</Words>
  <Characters>9646</Characters>
  <Application>Microsoft Office Word</Application>
  <DocSecurity>0</DocSecurity>
  <Lines>80</Lines>
  <Paragraphs>22</Paragraphs>
  <ScaleCrop>false</ScaleCrop>
  <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Menkhaus, Ken</dc:creator>
  <cp:keywords/>
  <dc:description/>
  <cp:lastModifiedBy>Menkhaus, Ken</cp:lastModifiedBy>
  <cp:revision>2</cp:revision>
  <dcterms:created xsi:type="dcterms:W3CDTF">2021-08-19T20:50:00Z</dcterms:created>
  <dcterms:modified xsi:type="dcterms:W3CDTF">2021-08-19T20:50:00Z</dcterms:modified>
</cp:coreProperties>
</file>